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2CF" w:rsidRPr="000A22CF" w:rsidRDefault="000A22CF" w:rsidP="000A22CF">
      <w:pPr>
        <w:widowControl/>
        <w:shd w:val="clear" w:color="auto" w:fill="FFFFFF"/>
        <w:jc w:val="center"/>
        <w:rPr>
          <w:rFonts w:ascii="Simsun" w:eastAsia="宋体" w:hAnsi="Simsun" w:cs="宋体"/>
          <w:b/>
          <w:bCs/>
          <w:color w:val="000000"/>
          <w:kern w:val="0"/>
          <w:sz w:val="29"/>
          <w:szCs w:val="29"/>
        </w:rPr>
      </w:pPr>
      <w:bookmarkStart w:id="0" w:name="_GoBack"/>
      <w:r w:rsidRPr="000A22CF">
        <w:rPr>
          <w:rFonts w:ascii="Simsun" w:eastAsia="宋体" w:hAnsi="Simsun" w:cs="宋体"/>
          <w:b/>
          <w:bCs/>
          <w:color w:val="000000"/>
          <w:kern w:val="0"/>
          <w:sz w:val="29"/>
          <w:szCs w:val="29"/>
        </w:rPr>
        <w:t>安徽省教育厅关于举办</w:t>
      </w:r>
      <w:r w:rsidRPr="000A22CF">
        <w:rPr>
          <w:rFonts w:ascii="Simsun" w:eastAsia="宋体" w:hAnsi="Simsun" w:cs="宋体"/>
          <w:b/>
          <w:bCs/>
          <w:color w:val="000000"/>
          <w:kern w:val="0"/>
          <w:sz w:val="29"/>
          <w:szCs w:val="29"/>
        </w:rPr>
        <w:t>2017</w:t>
      </w:r>
      <w:r w:rsidRPr="000A22CF">
        <w:rPr>
          <w:rFonts w:ascii="Simsun" w:eastAsia="宋体" w:hAnsi="Simsun" w:cs="宋体"/>
          <w:b/>
          <w:bCs/>
          <w:color w:val="000000"/>
          <w:kern w:val="0"/>
          <w:sz w:val="29"/>
          <w:szCs w:val="29"/>
        </w:rPr>
        <w:t>年安徽省高等职业院校信息化教学大赛的通知</w:t>
      </w:r>
    </w:p>
    <w:bookmarkEnd w:id="0"/>
    <w:p w:rsidR="000A22CF" w:rsidRPr="000A22CF" w:rsidRDefault="000A22CF" w:rsidP="000A22CF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皖教秘高</w:t>
      </w:r>
      <w:proofErr w:type="gramEnd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〔2017〕95号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各高等职业院校: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  <w:shd w:val="clear" w:color="auto" w:fill="FFFFFF"/>
        </w:rPr>
        <w:t>根据《安徽省教育厅 安徽省经济和信息化委员会安徽省人力资源和社会保障厅关于印发2017年安徽省职业院校技能大赛方案的通知》（</w:t>
      </w: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皖教秘职</w:t>
      </w:r>
      <w:proofErr w:type="gramEnd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成〔2016〕16号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  <w:shd w:val="clear" w:color="auto" w:fill="FFFFFF"/>
        </w:rPr>
        <w:t>）和《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安徽省教育厅关于印发2017年安徽省职业院校技能大赛（高职组）方案的通知》（</w:t>
      </w: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皖教秘高</w:t>
      </w:r>
      <w:proofErr w:type="gramEnd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〔2017〕13号），现就2017年安徽省高职院校信息化教学大赛有关事项通知如下。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一、比赛时间和地点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1.现场比赛时间为2017年7月20日，7月19日报到。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2.比赛地点：芜湖职业技术学院。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二、比赛项目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1.信息化教学设计比赛。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参赛内容自选，不限课程和专业。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2.信息化课堂教学比赛。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参赛内容自选，不限课程和专业。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3.信息化实</w:t>
      </w: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训教学</w:t>
      </w:r>
      <w:proofErr w:type="gramEnd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比赛。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lastRenderedPageBreak/>
        <w:t>设农林牧渔大类相关专业《果树生产技术》课程中“嫁接技术”有关内容、装备制造大类相关专业《公差配合与测量技术》课程中“零件尺寸测量”有关内容、电子信息大类相关专业《综合布线技术》课程中“双绞线制作”有关内容、旅游大类相关专业《中式烹调工艺》课程中“食品雕刻”有关内容等4个组别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三、比赛分组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D0D0D"/>
          <w:kern w:val="0"/>
          <w:sz w:val="36"/>
          <w:szCs w:val="36"/>
        </w:rPr>
        <w:t>信息化教学设计和信息化课堂教学设4个组：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D0D0D"/>
          <w:kern w:val="0"/>
          <w:sz w:val="36"/>
          <w:szCs w:val="36"/>
        </w:rPr>
        <w:t>1.专业课程一组：农林牧渔大类、资源环境与安全大类、能源动力与材料大类、土木建筑大类、水利大类、装备制造大类、生物与化工大类、轻工纺织大类、食品药品与粮食大类、交通运输大类、电子信息大类。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D0D0D"/>
          <w:kern w:val="0"/>
          <w:sz w:val="36"/>
          <w:szCs w:val="36"/>
        </w:rPr>
        <w:t>2.专业课程二组：医药卫生大类、财经商贸大类、旅游大类、文化艺术大类、新闻传播大类、教育与体育大类、公安与司法大类、公共管理与服务大类。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D0D0D"/>
          <w:kern w:val="0"/>
          <w:sz w:val="36"/>
          <w:szCs w:val="36"/>
        </w:rPr>
        <w:t>3.公共基础课程组。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D0D0D"/>
          <w:kern w:val="0"/>
          <w:sz w:val="36"/>
          <w:szCs w:val="36"/>
        </w:rPr>
        <w:t>4.思想政治理论课程组：《毛泽东思想和中国特色社会主义理论体系概论》《思想道德修养与法律基础》《形势与政策》。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四、赛项要求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1.信息化教学设计比赛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lastRenderedPageBreak/>
        <w:t>重点考察教师合理、充分运用信息技术、数字资源和信息化教学环境，解决教学难点，突出教学重点，系统优化教学过程，完成教学任务的能力。教学设计应基于教师对现代教育思想和教学理念的准确理解与运用，选择有时代新意、实用价值的教学内容，遵循职业院校学生认知规律，科学、合理安排教学过程的各个环节和要素，在教师角色、教学内容、教学方法、互动方式、考核与评价等方面有所创新，在实际教学中应用效果突出。教学设计可针对一个教学任务、一个教学单元或一个任务模块的教学内容进行设计并实施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2.信息化课堂教学比赛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重点考察教师依据信息化教学设计，实施课堂教学，达成教学目标的能力。教师应根据教学内容和教学对象的特点，合理选用信息技术、数字资源和信息化教学设施，创设学习的情境，并根据实际教学情况及时调整、优化教与学的过程。所选的教学内容应相对独立、完整，可以是一节完整的课堂教学内容，也可以是某个知识点或者技能点的教学（训练）内容，实际教学时</w:t>
      </w: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长严格</w:t>
      </w:r>
      <w:proofErr w:type="gramEnd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控制在35-45分钟。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3.信息化实</w:t>
      </w: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训教学</w:t>
      </w:r>
      <w:proofErr w:type="gramEnd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比赛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lastRenderedPageBreak/>
        <w:t>重点考察教师针对给定的教学内容进行信息化实</w:t>
      </w: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训教学</w:t>
      </w:r>
      <w:proofErr w:type="gramEnd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设计和完成相关技术技能操作的能力。参赛教师根据教学实际设定教学目标、创设学习的情境，完成信息化实</w:t>
      </w: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训教学</w:t>
      </w:r>
      <w:proofErr w:type="gramEnd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设计，利用自行携带（或现场备用）的设施设备完成与实</w:t>
      </w: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训教学</w:t>
      </w:r>
      <w:proofErr w:type="gramEnd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内容相关的实际操作，展现良好的实践教学能力和职业素养。教学设计应已用于实际教学，效果突出。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五、比赛内容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1.参赛内容为高等职业学校公共基础课的，应参照相关课程“十二五”职业教育国家规划教材（版本不限）进行制作和设计。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2.参赛内容为专业技能课内容的，应依据教育部已发布的《高等职业学校专业教学标准（试行）》的教学要求，参照相关课程“十二五”职业教育国家规划教材（版本不限）进行制作和设计。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3.参赛内容为</w:t>
      </w:r>
      <w:r w:rsidRPr="000A22CF">
        <w:rPr>
          <w:rFonts w:ascii="方正仿宋_GBK" w:eastAsia="方正仿宋_GBK" w:hAnsi="宋体" w:cs="宋体" w:hint="eastAsia"/>
          <w:color w:val="0D0D0D"/>
          <w:kern w:val="0"/>
          <w:sz w:val="36"/>
          <w:szCs w:val="36"/>
        </w:rPr>
        <w:t>思想政治理论课程的，应参照马克思主义理论研究和建设工程重点教材《毛泽东思想和中国特色社会主义理论体系概论》（2015年修订版）、《思想道德修养与法律基础》（2015年修订版）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进行制作和设计</w:t>
      </w:r>
      <w:r w:rsidRPr="000A22CF">
        <w:rPr>
          <w:rFonts w:ascii="方正仿宋_GBK" w:eastAsia="方正仿宋_GBK" w:hAnsi="宋体" w:cs="宋体" w:hint="eastAsia"/>
          <w:color w:val="0D0D0D"/>
          <w:kern w:val="0"/>
          <w:sz w:val="36"/>
          <w:szCs w:val="36"/>
        </w:rPr>
        <w:t>，《形势与政策》课程参照教育部关于“2017年上半年高校‘形势与政策’教育教学要点”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进行制作和设计</w:t>
      </w:r>
      <w:r w:rsidRPr="000A22CF">
        <w:rPr>
          <w:rFonts w:ascii="方正仿宋_GBK" w:eastAsia="方正仿宋_GBK" w:hAnsi="宋体" w:cs="宋体" w:hint="eastAsia"/>
          <w:color w:val="0D0D0D"/>
          <w:kern w:val="0"/>
          <w:sz w:val="36"/>
          <w:szCs w:val="36"/>
        </w:rPr>
        <w:t>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lastRenderedPageBreak/>
        <w:t>4.信息化实</w:t>
      </w: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训教学比赛</w:t>
      </w:r>
      <w:proofErr w:type="gramEnd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内容具体见附件1。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六、比赛办法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1.信息化教学设计比赛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采取现场决赛的方式进行，讲解信息化教学设计。参赛教师按现场抽签顺序进行比赛，讲解教学设计10分钟，答辩5分钟，换场3分钟。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2.信息化课堂教学比赛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采取专家评审的方式进行，主讲教师根据提交的教案实施课堂教学，录制课堂教学视频（具体要求见附件2）。视频应保证视频音轨信号完整、连贯，清晰反映师生课堂教学情况，画面可在不同机位间切换，不允许另行剪辑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3.信息化实</w:t>
      </w: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训教学</w:t>
      </w:r>
      <w:proofErr w:type="gramEnd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比赛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采取现场决赛的方式进行，讲解信息化实训教学，完成规定的操作。参赛教师按现场抽签顺序进行比赛，讲解教学设计并完成现场操作20分钟，答辩5分钟，换场3分钟。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七、参赛办法及要求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D0D0D"/>
          <w:kern w:val="0"/>
          <w:sz w:val="36"/>
          <w:szCs w:val="36"/>
        </w:rPr>
        <w:t>1.信息化教学设计比赛每校参赛名额不超过4个，信息化课堂教学比赛每校不超过3个，信息化实</w:t>
      </w:r>
      <w:proofErr w:type="gramStart"/>
      <w:r w:rsidRPr="000A22CF">
        <w:rPr>
          <w:rFonts w:ascii="方正仿宋_GBK" w:eastAsia="方正仿宋_GBK" w:hAnsi="宋体" w:cs="宋体" w:hint="eastAsia"/>
          <w:color w:val="0D0D0D"/>
          <w:kern w:val="0"/>
          <w:sz w:val="36"/>
          <w:szCs w:val="36"/>
        </w:rPr>
        <w:t>训教学比赛</w:t>
      </w:r>
      <w:proofErr w:type="gramEnd"/>
      <w:r w:rsidRPr="000A22CF">
        <w:rPr>
          <w:rFonts w:ascii="方正仿宋_GBK" w:eastAsia="方正仿宋_GBK" w:hAnsi="宋体" w:cs="宋体" w:hint="eastAsia"/>
          <w:color w:val="0D0D0D"/>
          <w:kern w:val="0"/>
          <w:sz w:val="36"/>
          <w:szCs w:val="36"/>
        </w:rPr>
        <w:t>每校不超过3个。已获得国赛奖项的学校，总数可增加1个。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lastRenderedPageBreak/>
        <w:t>2.各赛项均可以个人（在职教师）或教学团队（同一院校在职教师）的名义报名；以教学团队名义报名的，成员不超过3人，主讲教师为第一完成人；每位教师限报1件参赛作品。参赛教师须为高职院校在职教师，每位教师限报一个赛项的比赛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3.已参加过往年全国职业院校信息化教学大赛并获得一、二等奖的作品不得参赛，2015年以来的一等奖作品第一完成人不得作为主讲人参赛。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4.参赛作品应为原创，资料引用应注明出处。作品如引起知识产权异议和纠纷，责任由参赛者承担。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5.经作者同意，大赛组委会统一组织对大赛成果的公益性共享。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6.比赛采取匿名方式进行，禁止参赛教师进行学校和个人情况介绍。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D0D0D"/>
          <w:kern w:val="0"/>
          <w:sz w:val="36"/>
          <w:szCs w:val="36"/>
        </w:rPr>
        <w:t>7.省赛组委会将根据国</w:t>
      </w:r>
      <w:proofErr w:type="gramStart"/>
      <w:r w:rsidRPr="000A22CF">
        <w:rPr>
          <w:rFonts w:ascii="方正仿宋_GBK" w:eastAsia="方正仿宋_GBK" w:hAnsi="宋体" w:cs="宋体" w:hint="eastAsia"/>
          <w:color w:val="0D0D0D"/>
          <w:kern w:val="0"/>
          <w:sz w:val="36"/>
          <w:szCs w:val="36"/>
        </w:rPr>
        <w:t>赛文件</w:t>
      </w:r>
      <w:proofErr w:type="gramEnd"/>
      <w:r w:rsidRPr="000A22CF">
        <w:rPr>
          <w:rFonts w:ascii="方正仿宋_GBK" w:eastAsia="方正仿宋_GBK" w:hAnsi="宋体" w:cs="宋体" w:hint="eastAsia"/>
          <w:color w:val="0D0D0D"/>
          <w:kern w:val="0"/>
          <w:sz w:val="36"/>
          <w:szCs w:val="36"/>
        </w:rPr>
        <w:t>规定的专业大类按照排名顺序推荐比赛作品。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8.参赛教师可免费使用大赛组委会提供的“凤凰创壹在线教育云平台”及其教学资源，网址为：http://www.100vr.com。技术服务热线为：0592-2529300。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八、奖项设置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lastRenderedPageBreak/>
        <w:t>依据《2017年安徽省职业院校技能大赛方案》奖励办法进行奖励。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九、材料报送要求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2017年安徽省信息化教学大赛选取“一校一号、线上报名、线上评审（仅限课堂教学）”的形式进行。报名及上传作品步骤如下：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1.本届大赛的报名和电子版资料上</w:t>
      </w: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传工作</w:t>
      </w:r>
      <w:proofErr w:type="gramEnd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以参赛队为单位统一在大赛官网（http://www.ahvic.cn）进行。每院校指定1名院校管理员负责本院报名联系事宜。院校管理员需加入大赛官方QQ群（</w:t>
      </w: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群号</w:t>
      </w:r>
      <w:proofErr w:type="gramEnd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131497810）进行身份确认后，由大赛组委会统一发放院校报名账号与密码，院校管理员获取账号密码后，需修改密码后方能上传报送材料。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2.院校管理员需在2017年7月15日前登陆</w:t>
      </w: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大赛官网完成</w:t>
      </w:r>
      <w:proofErr w:type="gramEnd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报名工作。如实填写《2017年安徽省信息化教学大赛单项报名表》、《2017年安徽省信息化教学大赛汇总报名表》；同时上传加盖院校公章的报名表、汇总表扫描件。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3.参赛队需在2017年7月15日前，完成相关参赛材料的网上提交工作，并及时和赛事组委会电话确认。信息化教学设计比赛和信息化实</w:t>
      </w: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训教学</w:t>
      </w:r>
      <w:proofErr w:type="gramEnd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赛项需提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lastRenderedPageBreak/>
        <w:t>交PPT（演示文稿）、教案、说课稿；信息化课堂教学赛项需提交讲解视频、教案、说课稿。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4.院校管理员须严格把关，认真核对参赛作品的准确性、真实性和有效性，并保证电子报名表与实际参赛作品信息的一致，否则无法提交报名信息。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5.除报名表、汇总表外，参赛作品不得出现市、学校和参赛教师的任何信息，如出现参赛视频或者文字材料泄露相关信息的，取消该作品参赛资格。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6.各参赛学校在提交电子版材料前需查杀病毒，以免影响比赛。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联系人：刘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  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辉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 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0551-62233678 18919676369；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19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许普乐</w:t>
      </w:r>
      <w:proofErr w:type="gramEnd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0553-5775859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  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18955331676；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        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朱永国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 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0551-62831868。</w:t>
      </w:r>
    </w:p>
    <w:p w:rsidR="000A22CF" w:rsidRPr="000A22CF" w:rsidRDefault="000A22CF" w:rsidP="000A22CF">
      <w:pPr>
        <w:widowControl/>
        <w:shd w:val="clear" w:color="auto" w:fill="FFFFFF"/>
        <w:spacing w:line="450" w:lineRule="atLeast"/>
        <w:ind w:left="3044" w:hanging="14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50" w:lineRule="atLeast"/>
        <w:ind w:left="3044" w:hanging="14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附件：</w:t>
      </w:r>
      <w:r w:rsidRPr="000A22CF"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1. 2017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年安徽省职业院校信息化教学大赛信息化实</w:t>
      </w: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训教学比赛</w:t>
      </w:r>
      <w:proofErr w:type="gramEnd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内容</w:t>
      </w:r>
    </w:p>
    <w:p w:rsidR="000A22CF" w:rsidRPr="000A22CF" w:rsidRDefault="000A22CF" w:rsidP="000A22CF">
      <w:pPr>
        <w:widowControl/>
        <w:shd w:val="clear" w:color="auto" w:fill="FFFFFF"/>
        <w:spacing w:line="450" w:lineRule="atLeast"/>
        <w:ind w:left="2616" w:hanging="12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      2. 2017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年安徽省高职院校信息化教学大赛参赛视频制作要求</w:t>
      </w:r>
    </w:p>
    <w:p w:rsidR="000A22CF" w:rsidRPr="000A22CF" w:rsidRDefault="000A22CF" w:rsidP="000A22CF">
      <w:pPr>
        <w:widowControl/>
        <w:shd w:val="clear" w:color="auto" w:fill="FFFFFF"/>
        <w:spacing w:line="450" w:lineRule="atLeast"/>
        <w:ind w:left="2616" w:hanging="1226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      3. 2017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年安徽省高等职业院校信息化教学大赛评分指标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left="3099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left="3364" w:hanging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安徽省教育厅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left="3364" w:hanging="480"/>
        <w:jc w:val="righ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lastRenderedPageBreak/>
        <w:t>2017年6月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   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日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    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（此件主动公开）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附件1</w:t>
      </w:r>
    </w:p>
    <w:p w:rsidR="000A22CF" w:rsidRPr="000A22CF" w:rsidRDefault="000A22CF" w:rsidP="000A22CF">
      <w:pPr>
        <w:widowControl/>
        <w:shd w:val="clear" w:color="auto" w:fill="FFFFFF"/>
        <w:spacing w:line="450" w:lineRule="atLeast"/>
        <w:ind w:firstLine="8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2017年安徽省职业院校信息化教学</w:t>
      </w:r>
    </w:p>
    <w:p w:rsidR="000A22CF" w:rsidRPr="000A22CF" w:rsidRDefault="000A22CF" w:rsidP="000A22CF">
      <w:pPr>
        <w:widowControl/>
        <w:shd w:val="clear" w:color="auto" w:fill="FFFFFF"/>
        <w:spacing w:line="450" w:lineRule="atLeast"/>
        <w:ind w:firstLine="8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大赛信息化实</w:t>
      </w:r>
      <w:proofErr w:type="gramStart"/>
      <w:r w:rsidRPr="000A22CF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训教学比赛</w:t>
      </w:r>
      <w:proofErr w:type="gramEnd"/>
      <w:r w:rsidRPr="000A22CF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内容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一、嫁接技术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1.比赛内容：高等职业院校农林牧渔大类相关专业《果树生产技术》课程中的“嫁接技术”教学内容。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2.实践操作：教师现场完成自选一种方法的嫁接操作。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3.现场提供的工具材料：手锯、剪枝剪刀、塑料绑扎带、塑料薄膜、切接刀、劈接刀、芽接刀、大小砧木、接穗枝条等（建议参赛教师自行携带所需物品）。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二、零件尺寸测量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1.比赛内容：高等职业院校装备制造大类相关专业《公差配合与测量技术》课程中的“零件尺寸测量”教学内容。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lastRenderedPageBreak/>
        <w:t>2.实践操作：教师现场完成某一常见传动轴的轴长、轴径的测量。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3.现场提供的工具设备：游标卡尺、千分尺等（建议参赛教师自行携带所需物品），操作台、检测轴样品及图纸。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三、双绞线及其制作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1.比赛内容：高等职业院校电子信息大类相关专业《综合布线技术》课程中的“双绞线及其制作”教学内容。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2.实践操作：教师现场完成2根长度为0.5米的网络跳线（分别为直通线、交叉线）的制作并检测。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3.现场提供的工具材料：钢卷尺、斜口钳、网线剥线器、压线钳、网线测试仪、超五类非屏蔽双绞线、超五类非屏蔽RJ45水晶头等（建议参赛教师自行携带所需物品）。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四、食品雕刻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1.比赛内容：高等职业院校旅游大类相关专业《中式烹调工艺》课程中的“食品雕刻”教学内容。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2.实践操作：教师现场完成自选主题的一件食品雕刻作品。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lastRenderedPageBreak/>
        <w:t>3.现场提供的工具材料：专用平口刀、</w:t>
      </w: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尖口刀</w:t>
      </w:r>
      <w:proofErr w:type="gramEnd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、模具刀、镊子、剪子、平盘、萝卜、瓜薯等（建议参赛教师自行携带所需物品）。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附件2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8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8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2017年安徽省高职院校信息化教学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88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大赛参赛视频制作要求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一、录制软件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lastRenderedPageBreak/>
        <w:t>录制软件不限，参赛教师自行选取。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二、视频信号源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1.稳定性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全片图像同步性能稳定，无失步现象，CTL同步控制信号必须连续：图像无抖动跳跃，色彩无突变，编辑点处图像稳定。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2.信噪比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图像信噪比不低于55dB，无明显杂波。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3.色调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白平衡正确，无明显偏色，多机拍摄的镜头衔接处无明显色差。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三、音频信号源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1.声道配置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中文内容音频信号记录于第1声道，音乐、音效、同期</w:t>
      </w: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声记录</w:t>
      </w:r>
      <w:proofErr w:type="gramEnd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于第2声道，若有其他文字解说记录于第3声道（如录音设备无第3声道，则录于第2声道）。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2.电平指标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-2db—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 </w:t>
      </w: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-8db，声音应无明显失真、放音过冲、过弱。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3.信噪比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不低于48db。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4.其他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lastRenderedPageBreak/>
        <w:t>声音和画面要求同步，</w:t>
      </w: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无交流</w:t>
      </w:r>
      <w:proofErr w:type="gramEnd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声或其他杂音等缺陷。伴音清晰、饱满、圆润，无失真、噪声杂音干扰、音量忽大忽小现象。解说声与现场声无明显比例失调，解说声与背景音乐无明显比例失调。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四、视频压缩格式及技术参数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1.压缩格式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采用H.264/AVC（MPEG-4 Part10）编码格式。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2.码流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动态码流的码率为1024Kbps（125KBps）。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3.分辨率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（1）采用标清4:3拍摄时，设定为720×576；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（2）采用高清16:9拍摄时，设定为1280×720；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（3）在同一参赛作品中，各机位的视频分辨率应统一，</w:t>
      </w: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不</w:t>
      </w:r>
      <w:proofErr w:type="gramEnd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得标清和高清混用。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4.画幅宽高比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（1）分辨率设定为720×576的，选定4:3；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（2）分辨率设定为1280×720的，选定16:9；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（3）在同一参赛作品中，各机位的视频应统一画幅宽高比，不得混用。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5.帧率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25帧/秒。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6.扫描方式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lastRenderedPageBreak/>
        <w:t>逐行扫描。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五、音频压缩格式及技术参数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1.压缩格式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采用AAC（MPEG4 Part3）格式。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2.采样率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proofErr w:type="gramStart"/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48KHz</w:t>
      </w:r>
      <w:proofErr w:type="gramEnd"/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3.码流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128Kbps（恒定）。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六、封装格式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采用MP4格式封装。（视频编码格式：H.264/AVC（MPEG-4 Part10）；音频编码格式：AAC（MPEG4 Part3））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七、其他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1.视频和音频的编码格式务必遵照相关要求，否则将导致视频无法正常播出，延误网络评审，影响比赛成绩。视频的编码格式信息，可在视频播放器的视频文件详细信息中查看。视频编码格式不符合比赛要求的，可用各种转换软件进行转换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t>2.视频和音频的码流务必遵照相关要求。按要求制作的视频。码流过大的视频，播放时会出现卡顿现象，延误网络评审，影响比赛成绩。</w:t>
      </w:r>
    </w:p>
    <w:p w:rsidR="000A22CF" w:rsidRPr="000A22CF" w:rsidRDefault="000A22CF" w:rsidP="000A22CF">
      <w:pPr>
        <w:widowControl/>
        <w:shd w:val="clear" w:color="auto" w:fill="FFFFFF"/>
        <w:spacing w:line="56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仿宋_GBK" w:eastAsia="方正仿宋_GBK" w:hAnsi="宋体" w:cs="宋体" w:hint="eastAsia"/>
          <w:color w:val="000000"/>
          <w:kern w:val="0"/>
          <w:sz w:val="36"/>
          <w:szCs w:val="36"/>
        </w:rPr>
        <w:lastRenderedPageBreak/>
        <w:t>3.比赛采取匿名方式进行，禁止参赛教师进行省市、学校和个人情况介绍，参赛视频切勿泄露相关信息。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br w:type="page"/>
      </w:r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lastRenderedPageBreak/>
        <w:t>附件3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602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80" w:lineRule="atLeast"/>
        <w:ind w:firstLine="720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小标宋_GBK" w:eastAsia="方正小标宋_GBK" w:hAnsi="宋体" w:cs="宋体" w:hint="eastAsia"/>
          <w:color w:val="000000"/>
          <w:kern w:val="0"/>
          <w:sz w:val="36"/>
          <w:szCs w:val="36"/>
        </w:rPr>
        <w:t>2017年安徽省高等职业院校信息化教学大赛评分指标</w:t>
      </w:r>
    </w:p>
    <w:p w:rsidR="000A22CF" w:rsidRPr="000A22CF" w:rsidRDefault="000A22CF" w:rsidP="000A22CF">
      <w:pPr>
        <w:widowControl/>
        <w:shd w:val="clear" w:color="auto" w:fill="FFFFFF"/>
        <w:spacing w:line="450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一、信息化教学设计比赛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007"/>
        <w:gridCol w:w="6676"/>
      </w:tblGrid>
      <w:tr w:rsidR="000A22CF" w:rsidRPr="000A22CF" w:rsidTr="000A22CF">
        <w:trPr>
          <w:cantSplit/>
          <w:trHeight w:val="574"/>
          <w:jc w:val="center"/>
        </w:trPr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评比</w:t>
            </w:r>
          </w:p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指标</w:t>
            </w:r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6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评比要素</w:t>
            </w:r>
          </w:p>
        </w:tc>
      </w:tr>
      <w:tr w:rsidR="000A22CF" w:rsidRPr="000A22CF" w:rsidTr="000A22CF">
        <w:trPr>
          <w:cantSplit/>
          <w:trHeight w:val="1773"/>
          <w:jc w:val="center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总体</w:t>
            </w:r>
          </w:p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设计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1.教学目标明确、选题有价值、内容安排合理，符合新时期技术技能人才培养要求；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2.教学策略得当，符合职业院校学生认知规律和教学实际；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3.合理选用信息技术、数字资源和信息化教学设施，系统优化教学过程；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4.教案完整、规范，内容科学。</w:t>
            </w:r>
          </w:p>
        </w:tc>
      </w:tr>
      <w:tr w:rsidR="000A22CF" w:rsidRPr="000A22CF" w:rsidTr="000A22CF">
        <w:trPr>
          <w:cantSplit/>
          <w:trHeight w:val="1415"/>
          <w:jc w:val="center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教学</w:t>
            </w:r>
          </w:p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过程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1.</w:t>
            </w: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教学组织与方法得当，突出学生主体地位，体现“做中学、做中教”；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2.</w:t>
            </w: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教学互动流畅、合理，针对学习反馈及时调整教学策略；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3.信息技术与数字资源运用充分、有效，教学内容呈现恰当，满足学生学习需求；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4.教学考核与评价科学有效。</w:t>
            </w:r>
          </w:p>
        </w:tc>
      </w:tr>
      <w:tr w:rsidR="000A22CF" w:rsidRPr="000A22CF" w:rsidTr="000A22CF">
        <w:trPr>
          <w:cantSplit/>
          <w:trHeight w:val="1341"/>
          <w:jc w:val="center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教学</w:t>
            </w:r>
          </w:p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效果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1.有效达成教学目标，运用信息技术解决教学重难点问题或完成教学任务的作用突出，效果明显；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2.切实提高学生学习兴趣和学习能力。</w:t>
            </w:r>
          </w:p>
        </w:tc>
      </w:tr>
      <w:tr w:rsidR="000A22CF" w:rsidRPr="000A22CF" w:rsidTr="000A22CF">
        <w:trPr>
          <w:cantSplit/>
          <w:trHeight w:val="984"/>
          <w:jc w:val="center"/>
        </w:trPr>
        <w:tc>
          <w:tcPr>
            <w:tcW w:w="1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特色</w:t>
            </w:r>
          </w:p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创新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1.理念先进，立意新颖，构思独特，技术领先；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2.广泛适用于实际教学，有较大推广价值。</w:t>
            </w:r>
          </w:p>
        </w:tc>
      </w:tr>
    </w:tbl>
    <w:p w:rsidR="000A22CF" w:rsidRPr="000A22CF" w:rsidRDefault="000A22CF" w:rsidP="000A22CF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二、信息化课堂教学比赛</w:t>
      </w:r>
    </w:p>
    <w:tbl>
      <w:tblPr>
        <w:tblW w:w="91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992"/>
        <w:gridCol w:w="6729"/>
      </w:tblGrid>
      <w:tr w:rsidR="000A22CF" w:rsidRPr="000A22CF" w:rsidTr="000A22CF">
        <w:trPr>
          <w:cantSplit/>
          <w:jc w:val="center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评比</w:t>
            </w:r>
          </w:p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指标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6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评比要素</w:t>
            </w:r>
          </w:p>
        </w:tc>
      </w:tr>
      <w:tr w:rsidR="000A22CF" w:rsidRPr="000A22CF" w:rsidTr="000A22CF">
        <w:trPr>
          <w:cantSplit/>
          <w:jc w:val="center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教学</w:t>
            </w:r>
          </w:p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1.教学目标明确、选题有价值、内容安排合理，符合新时期技术技能人才培养要求；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2.教学策略得当，符合职业院校学生认知规律和教学实际；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3.合理选用信息技术、数字资源和信息化教学设施，系统优化教学过程；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4.教案完整、规范，内容科学。</w:t>
            </w:r>
          </w:p>
        </w:tc>
      </w:tr>
      <w:tr w:rsidR="000A22CF" w:rsidRPr="000A22CF" w:rsidTr="000A22CF">
        <w:trPr>
          <w:cantSplit/>
          <w:jc w:val="center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教学</w:t>
            </w:r>
          </w:p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实施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1.按照提交的教案组织课堂教学，教学过程与活动安排必要、合理，衔接自然；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2.教学组织与方法得当，教学活动学生参与面广，突出学生主体地位，体现“做中学、做中教”；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3.信息技术与数字资源运用充分、有效，教学内容呈现恰当，满足学生学习需求；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4.教学互动流畅、合理，针对学习反馈及时调整教学策略；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5.教师教学态度认真严谨、仪表端庄、语言规范、表达流畅、亲和力强。</w:t>
            </w:r>
          </w:p>
        </w:tc>
      </w:tr>
      <w:tr w:rsidR="000A22CF" w:rsidRPr="000A22CF" w:rsidTr="000A22CF">
        <w:trPr>
          <w:cantSplit/>
          <w:jc w:val="center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教学</w:t>
            </w:r>
          </w:p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效果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1.有效达成教学目标，运用信息技术解决教学重难点问题或完成教学任务的作用突出，效果明显；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2.课堂教学真实有效、气氛好，切实提高学生学习兴趣和学习能力。</w:t>
            </w:r>
          </w:p>
        </w:tc>
      </w:tr>
      <w:tr w:rsidR="000A22CF" w:rsidRPr="000A22CF" w:rsidTr="000A22CF">
        <w:trPr>
          <w:cantSplit/>
          <w:jc w:val="center"/>
        </w:trPr>
        <w:tc>
          <w:tcPr>
            <w:tcW w:w="1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特色</w:t>
            </w:r>
          </w:p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创新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1.理念先进，立意新颖，构思独特，技术领先；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2.课堂教学效率高，成效好，特色鲜明，具有较强的示范性。</w:t>
            </w:r>
          </w:p>
        </w:tc>
      </w:tr>
    </w:tbl>
    <w:p w:rsidR="000A22CF" w:rsidRPr="000A22CF" w:rsidRDefault="000A22CF" w:rsidP="000A22CF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50" w:lineRule="atLeas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0A22CF" w:rsidRPr="000A22CF" w:rsidRDefault="000A22CF" w:rsidP="000A22CF">
      <w:pPr>
        <w:widowControl/>
        <w:shd w:val="clear" w:color="auto" w:fill="FFFFFF"/>
        <w:spacing w:line="450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三、信息化实</w:t>
      </w:r>
      <w:proofErr w:type="gramStart"/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训教学</w:t>
      </w:r>
      <w:proofErr w:type="gramEnd"/>
      <w:r w:rsidRPr="000A22CF">
        <w:rPr>
          <w:rFonts w:ascii="方正黑体_GBK" w:eastAsia="方正黑体_GBK" w:hAnsi="宋体" w:cs="宋体" w:hint="eastAsia"/>
          <w:color w:val="000000"/>
          <w:kern w:val="0"/>
          <w:sz w:val="36"/>
          <w:szCs w:val="36"/>
        </w:rPr>
        <w:t>比赛</w:t>
      </w:r>
    </w:p>
    <w:tbl>
      <w:tblPr>
        <w:tblW w:w="90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900"/>
        <w:gridCol w:w="6676"/>
      </w:tblGrid>
      <w:tr w:rsidR="000A22CF" w:rsidRPr="000A22CF" w:rsidTr="000A22CF">
        <w:trPr>
          <w:cantSplit/>
          <w:trHeight w:val="1006"/>
          <w:jc w:val="center"/>
        </w:trPr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lastRenderedPageBreak/>
              <w:t>评比指标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6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评比要素</w:t>
            </w:r>
          </w:p>
        </w:tc>
      </w:tr>
      <w:tr w:rsidR="000A22CF" w:rsidRPr="000A22CF" w:rsidTr="000A22CF">
        <w:trPr>
          <w:cantSplit/>
          <w:trHeight w:val="1855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总体</w:t>
            </w:r>
          </w:p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设计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1.教学目标明确，教学内容完整，符合新时期技术技能人才培养要求；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2.教学策略得当，突出实践性教学特点，符合职业院校学生认知规律和教学实际；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3.合理选用信息技术、数字资源和信息化教学环境，系统优化教学过程；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4.教案完整、规范。</w:t>
            </w:r>
          </w:p>
        </w:tc>
      </w:tr>
      <w:tr w:rsidR="000A22CF" w:rsidRPr="000A22CF" w:rsidTr="000A22CF">
        <w:trPr>
          <w:cantSplit/>
          <w:trHeight w:val="1413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教学</w:t>
            </w:r>
          </w:p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过程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1.教学组织与方法得当，突出学生主体地位，体现“做中学、做中教”；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2.教学互动流畅、合理，针对学习反馈及时调整教学策略；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3.信息技术与数字资源运用充分、有效，教学内容呈现恰当，有效解决实</w:t>
            </w:r>
            <w:proofErr w:type="gramStart"/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训教学</w:t>
            </w:r>
            <w:proofErr w:type="gramEnd"/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中重难点问题；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4.教学考核与评价科学有效。</w:t>
            </w:r>
          </w:p>
        </w:tc>
      </w:tr>
      <w:tr w:rsidR="000A22CF" w:rsidRPr="000A22CF" w:rsidTr="000A22CF">
        <w:trPr>
          <w:cantSplit/>
          <w:trHeight w:val="1082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现场</w:t>
            </w:r>
          </w:p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操作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1.讲解和操作配合恰当；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2.完成规定实践操作要求，操作规范、熟练；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3.展示良好的职业技能和职业素养。</w:t>
            </w:r>
          </w:p>
        </w:tc>
      </w:tr>
      <w:tr w:rsidR="000A22CF" w:rsidRPr="000A22CF" w:rsidTr="000A22CF">
        <w:trPr>
          <w:cantSplit/>
          <w:trHeight w:val="970"/>
          <w:jc w:val="center"/>
        </w:trPr>
        <w:tc>
          <w:tcPr>
            <w:tcW w:w="1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特色</w:t>
            </w:r>
          </w:p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创新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1.理念先进，立意新颖，构思独特，技术领先；</w:t>
            </w:r>
          </w:p>
          <w:p w:rsidR="000A22CF" w:rsidRPr="000A22CF" w:rsidRDefault="000A22CF" w:rsidP="000A22C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22CF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2.广泛适用于实际教学，有较大推广价值。</w:t>
            </w:r>
          </w:p>
        </w:tc>
      </w:tr>
    </w:tbl>
    <w:p w:rsidR="000A22CF" w:rsidRPr="000A22CF" w:rsidRDefault="000A22CF" w:rsidP="000A22CF">
      <w:pPr>
        <w:widowControl/>
        <w:shd w:val="clear" w:color="auto" w:fill="FFFFFF"/>
        <w:spacing w:line="450" w:lineRule="atLeast"/>
        <w:ind w:firstLine="61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22CF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 </w:t>
      </w:r>
    </w:p>
    <w:p w:rsidR="0053191D" w:rsidRPr="000A22CF" w:rsidRDefault="0053191D"/>
    <w:sectPr w:rsidR="0053191D" w:rsidRPr="000A2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30"/>
    <w:rsid w:val="000A22CF"/>
    <w:rsid w:val="0053191D"/>
    <w:rsid w:val="0071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22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2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8738">
          <w:marLeft w:val="675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565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048">
          <w:marLeft w:val="75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455</dc:creator>
  <cp:keywords/>
  <dc:description/>
  <cp:lastModifiedBy>455</cp:lastModifiedBy>
  <cp:revision>3</cp:revision>
  <dcterms:created xsi:type="dcterms:W3CDTF">2017-06-27T06:30:00Z</dcterms:created>
  <dcterms:modified xsi:type="dcterms:W3CDTF">2017-06-27T06:30:00Z</dcterms:modified>
</cp:coreProperties>
</file>